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C586A" w:rsidRDefault="004111DC">
      <w:pPr>
        <w:jc w:val="center"/>
        <w:rPr>
          <w:rFonts w:ascii="EB Garamond" w:eastAsia="EB Garamond" w:hAnsi="EB Garamond" w:cs="EB Garamond"/>
          <w:b/>
          <w:sz w:val="24"/>
          <w:szCs w:val="24"/>
          <w:u w:val="single"/>
        </w:rPr>
      </w:pPr>
      <w:bookmarkStart w:id="0" w:name="_GoBack"/>
      <w:bookmarkEnd w:id="0"/>
      <w:r>
        <w:rPr>
          <w:rFonts w:ascii="EB Garamond" w:eastAsia="EB Garamond" w:hAnsi="EB Garamond" w:cs="EB Garamond"/>
          <w:b/>
          <w:sz w:val="24"/>
          <w:szCs w:val="24"/>
          <w:u w:val="single"/>
        </w:rPr>
        <w:t>African American and Latinx History Course Syllabus - 2019-2020</w:t>
      </w:r>
    </w:p>
    <w:p w:rsidR="007C586A" w:rsidRDefault="004111DC">
      <w:pPr>
        <w:jc w:val="center"/>
        <w:rPr>
          <w:rFonts w:ascii="EB Garamond" w:eastAsia="EB Garamond" w:hAnsi="EB Garamond" w:cs="EB Garamond"/>
          <w:b/>
          <w:sz w:val="24"/>
          <w:szCs w:val="24"/>
        </w:rPr>
      </w:pPr>
      <w:r>
        <w:rPr>
          <w:rFonts w:ascii="EB Garamond" w:eastAsia="EB Garamond" w:hAnsi="EB Garamond" w:cs="EB Garamond"/>
          <w:b/>
          <w:sz w:val="24"/>
          <w:szCs w:val="24"/>
        </w:rPr>
        <w:t>Ms. Nataliya // nataliyabraginsky@gmail.com</w:t>
      </w:r>
    </w:p>
    <w:p w:rsidR="007C586A" w:rsidRDefault="004111DC">
      <w:pPr>
        <w:rPr>
          <w:rFonts w:ascii="EB Garamond" w:eastAsia="EB Garamond" w:hAnsi="EB Garamond" w:cs="EB Garamond"/>
          <w:b/>
          <w:sz w:val="24"/>
          <w:szCs w:val="24"/>
          <w:u w:val="single"/>
        </w:rPr>
      </w:pPr>
      <w:r>
        <w:rPr>
          <w:noProof/>
          <w:lang w:val="en-US"/>
        </w:rPr>
        <w:drawing>
          <wp:anchor distT="114300" distB="114300" distL="114300" distR="114300" simplePos="0" relativeHeight="251658240" behindDoc="0" locked="0" layoutInCell="1" hidden="0" allowOverlap="1">
            <wp:simplePos x="0" y="0"/>
            <wp:positionH relativeFrom="column">
              <wp:posOffset>4886325</wp:posOffset>
            </wp:positionH>
            <wp:positionV relativeFrom="paragraph">
              <wp:posOffset>252413</wp:posOffset>
            </wp:positionV>
            <wp:extent cx="2154394" cy="144303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54394" cy="1443038"/>
                    </a:xfrm>
                    <a:prstGeom prst="rect">
                      <a:avLst/>
                    </a:prstGeom>
                    <a:ln/>
                  </pic:spPr>
                </pic:pic>
              </a:graphicData>
            </a:graphic>
          </wp:anchor>
        </w:drawing>
      </w:r>
    </w:p>
    <w:p w:rsidR="007C586A" w:rsidRDefault="004111DC">
      <w:pPr>
        <w:rPr>
          <w:rFonts w:ascii="EB Garamond" w:eastAsia="EB Garamond" w:hAnsi="EB Garamond" w:cs="EB Garamond"/>
          <w:sz w:val="24"/>
          <w:szCs w:val="24"/>
        </w:rPr>
      </w:pPr>
      <w:r>
        <w:rPr>
          <w:rFonts w:ascii="EB Garamond" w:eastAsia="EB Garamond" w:hAnsi="EB Garamond" w:cs="EB Garamond"/>
          <w:sz w:val="24"/>
          <w:szCs w:val="24"/>
        </w:rPr>
        <w:t>This course is a product of history, and it is youth of color who made this history possible! In the photo to the right you can see some of the local high school students who testified before the Connecticut State Legislature, convincing our representative</w:t>
      </w:r>
      <w:r>
        <w:rPr>
          <w:rFonts w:ascii="EB Garamond" w:eastAsia="EB Garamond" w:hAnsi="EB Garamond" w:cs="EB Garamond"/>
          <w:sz w:val="24"/>
          <w:szCs w:val="24"/>
        </w:rPr>
        <w:t>s to pass a bill which mandates that all high schools in our state offer an African American and Latinx History course. While this law does not officially go into effect until the 2022-2023 school year, our school decided that we would not wait -- that thi</w:t>
      </w:r>
      <w:r>
        <w:rPr>
          <w:rFonts w:ascii="EB Garamond" w:eastAsia="EB Garamond" w:hAnsi="EB Garamond" w:cs="EB Garamond"/>
          <w:sz w:val="24"/>
          <w:szCs w:val="24"/>
        </w:rPr>
        <w:t>s class has long been overdue!</w:t>
      </w:r>
    </w:p>
    <w:p w:rsidR="007C586A" w:rsidRDefault="007C586A">
      <w:pPr>
        <w:rPr>
          <w:rFonts w:ascii="EB Garamond" w:eastAsia="EB Garamond" w:hAnsi="EB Garamond" w:cs="EB Garamond"/>
          <w:sz w:val="24"/>
          <w:szCs w:val="24"/>
        </w:rPr>
      </w:pPr>
    </w:p>
    <w:p w:rsidR="007C586A" w:rsidRDefault="004111DC">
      <w:pPr>
        <w:rPr>
          <w:rFonts w:ascii="EB Garamond" w:eastAsia="EB Garamond" w:hAnsi="EB Garamond" w:cs="EB Garamond"/>
          <w:sz w:val="24"/>
          <w:szCs w:val="24"/>
        </w:rPr>
      </w:pPr>
      <w:r>
        <w:rPr>
          <w:rFonts w:ascii="EB Garamond" w:eastAsia="EB Garamond" w:hAnsi="EB Garamond" w:cs="EB Garamond"/>
          <w:sz w:val="24"/>
          <w:szCs w:val="24"/>
        </w:rPr>
        <w:t>This class will take a critical race theory approach to examining the history and present day realities of racism and white supremacy, and their impacts on Black and Latinx people -- and more importantly, the ongoing resista</w:t>
      </w:r>
      <w:r>
        <w:rPr>
          <w:rFonts w:ascii="EB Garamond" w:eastAsia="EB Garamond" w:hAnsi="EB Garamond" w:cs="EB Garamond"/>
          <w:sz w:val="24"/>
          <w:szCs w:val="24"/>
        </w:rPr>
        <w:t>nce to these forms of domination. While oppression is a part of this history, it is not the centerpiece. That is, African American and Latinx people have made the U.S. what it is, contributing untold physical and intellectual labor and creative genius. Fur</w:t>
      </w:r>
      <w:r>
        <w:rPr>
          <w:rFonts w:ascii="EB Garamond" w:eastAsia="EB Garamond" w:hAnsi="EB Garamond" w:cs="EB Garamond"/>
          <w:sz w:val="24"/>
          <w:szCs w:val="24"/>
        </w:rPr>
        <w:t>thermore, the roots of Black and Latinx legacies precede the very existence of the United States: in Africa, the cradle of civilization, and throughout the Americas where Indigenous people have thrived for thousands of years. Looking back while also lookin</w:t>
      </w:r>
      <w:r>
        <w:rPr>
          <w:rFonts w:ascii="EB Garamond" w:eastAsia="EB Garamond" w:hAnsi="EB Garamond" w:cs="EB Garamond"/>
          <w:sz w:val="24"/>
          <w:szCs w:val="24"/>
        </w:rPr>
        <w:t>g forward, this class recognizes that African American and Latinx people, history, and culture have a lot to teach us about how to radically reimagine new possibilities and more just futures.</w:t>
      </w:r>
    </w:p>
    <w:p w:rsidR="007C586A" w:rsidRDefault="004111DC">
      <w:pPr>
        <w:rPr>
          <w:rFonts w:ascii="EB Garamond" w:eastAsia="EB Garamond" w:hAnsi="EB Garamond" w:cs="EB Garamond"/>
          <w:sz w:val="24"/>
          <w:szCs w:val="24"/>
        </w:rPr>
      </w:pPr>
      <w:r>
        <w:rPr>
          <w:rFonts w:ascii="EB Garamond" w:eastAsia="EB Garamond" w:hAnsi="EB Garamond" w:cs="EB Garamond"/>
          <w:sz w:val="24"/>
          <w:szCs w:val="24"/>
        </w:rPr>
        <w:t xml:space="preserve"> </w:t>
      </w:r>
    </w:p>
    <w:p w:rsidR="007C586A" w:rsidRDefault="004111DC">
      <w:pPr>
        <w:rPr>
          <w:rFonts w:ascii="EB Garamond" w:eastAsia="EB Garamond" w:hAnsi="EB Garamond" w:cs="EB Garamond"/>
          <w:sz w:val="24"/>
          <w:szCs w:val="24"/>
        </w:rPr>
      </w:pPr>
      <w:r>
        <w:rPr>
          <w:rFonts w:ascii="EB Garamond" w:eastAsia="EB Garamond" w:hAnsi="EB Garamond" w:cs="EB Garamond"/>
          <w:b/>
          <w:sz w:val="24"/>
          <w:szCs w:val="24"/>
        </w:rPr>
        <w:t>Curriculum Essential Questions:</w:t>
      </w:r>
    </w:p>
    <w:p w:rsidR="007C586A" w:rsidRDefault="004111DC">
      <w:pPr>
        <w:numPr>
          <w:ilvl w:val="0"/>
          <w:numId w:val="1"/>
        </w:numPr>
        <w:rPr>
          <w:rFonts w:ascii="EB Garamond" w:eastAsia="EB Garamond" w:hAnsi="EB Garamond" w:cs="EB Garamond"/>
          <w:sz w:val="24"/>
          <w:szCs w:val="24"/>
        </w:rPr>
      </w:pPr>
      <w:r>
        <w:rPr>
          <w:rFonts w:ascii="EB Garamond" w:eastAsia="EB Garamond" w:hAnsi="EB Garamond" w:cs="EB Garamond"/>
          <w:sz w:val="24"/>
          <w:szCs w:val="24"/>
        </w:rPr>
        <w:t>Who and what are the diverse p</w:t>
      </w:r>
      <w:r>
        <w:rPr>
          <w:rFonts w:ascii="EB Garamond" w:eastAsia="EB Garamond" w:hAnsi="EB Garamond" w:cs="EB Garamond"/>
          <w:sz w:val="24"/>
          <w:szCs w:val="24"/>
        </w:rPr>
        <w:t xml:space="preserve">eople, places, and time periods that African American and Latinx history cover?  What are the stories of the African and Latinx diaspora? </w:t>
      </w:r>
    </w:p>
    <w:p w:rsidR="007C586A" w:rsidRDefault="004111DC">
      <w:pPr>
        <w:numPr>
          <w:ilvl w:val="0"/>
          <w:numId w:val="1"/>
        </w:numPr>
        <w:rPr>
          <w:rFonts w:ascii="EB Garamond" w:eastAsia="EB Garamond" w:hAnsi="EB Garamond" w:cs="EB Garamond"/>
          <w:sz w:val="24"/>
          <w:szCs w:val="24"/>
        </w:rPr>
      </w:pPr>
      <w:r>
        <w:rPr>
          <w:rFonts w:ascii="EB Garamond" w:eastAsia="EB Garamond" w:hAnsi="EB Garamond" w:cs="EB Garamond"/>
          <w:sz w:val="24"/>
          <w:szCs w:val="24"/>
        </w:rPr>
        <w:t>In what ways are Indigenous, Black, and Latinx histories intertwined?</w:t>
      </w:r>
    </w:p>
    <w:p w:rsidR="007C586A" w:rsidRDefault="004111DC">
      <w:pPr>
        <w:numPr>
          <w:ilvl w:val="0"/>
          <w:numId w:val="1"/>
        </w:numPr>
        <w:rPr>
          <w:rFonts w:ascii="EB Garamond" w:eastAsia="EB Garamond" w:hAnsi="EB Garamond" w:cs="EB Garamond"/>
          <w:sz w:val="24"/>
          <w:szCs w:val="24"/>
        </w:rPr>
      </w:pPr>
      <w:r>
        <w:rPr>
          <w:rFonts w:ascii="EB Garamond" w:eastAsia="EB Garamond" w:hAnsi="EB Garamond" w:cs="EB Garamond"/>
          <w:sz w:val="24"/>
          <w:szCs w:val="24"/>
        </w:rPr>
        <w:t>What does African American and Latinx history r</w:t>
      </w:r>
      <w:r>
        <w:rPr>
          <w:rFonts w:ascii="EB Garamond" w:eastAsia="EB Garamond" w:hAnsi="EB Garamond" w:cs="EB Garamond"/>
          <w:sz w:val="24"/>
          <w:szCs w:val="24"/>
        </w:rPr>
        <w:t>eveal about the United States, its foundation, and how power is structured today?</w:t>
      </w:r>
    </w:p>
    <w:p w:rsidR="007C586A" w:rsidRDefault="004111DC">
      <w:pPr>
        <w:numPr>
          <w:ilvl w:val="0"/>
          <w:numId w:val="1"/>
        </w:numPr>
        <w:rPr>
          <w:rFonts w:ascii="EB Garamond" w:eastAsia="EB Garamond" w:hAnsi="EB Garamond" w:cs="EB Garamond"/>
          <w:sz w:val="24"/>
          <w:szCs w:val="24"/>
        </w:rPr>
      </w:pPr>
      <w:r>
        <w:rPr>
          <w:rFonts w:ascii="EB Garamond" w:eastAsia="EB Garamond" w:hAnsi="EB Garamond" w:cs="EB Garamond"/>
          <w:sz w:val="24"/>
          <w:szCs w:val="24"/>
        </w:rPr>
        <w:t>How have Black and Latinx Americans — both voluntarily and by force —shaped the U.S.?</w:t>
      </w:r>
    </w:p>
    <w:p w:rsidR="007C586A" w:rsidRDefault="004111DC">
      <w:pPr>
        <w:numPr>
          <w:ilvl w:val="0"/>
          <w:numId w:val="1"/>
        </w:numPr>
        <w:rPr>
          <w:rFonts w:ascii="EB Garamond" w:eastAsia="EB Garamond" w:hAnsi="EB Garamond" w:cs="EB Garamond"/>
          <w:sz w:val="24"/>
          <w:szCs w:val="24"/>
        </w:rPr>
      </w:pPr>
      <w:r>
        <w:rPr>
          <w:rFonts w:ascii="EB Garamond" w:eastAsia="EB Garamond" w:hAnsi="EB Garamond" w:cs="EB Garamond"/>
          <w:sz w:val="24"/>
          <w:szCs w:val="24"/>
        </w:rPr>
        <w:t>How have Black and Latinx people fought for freedom and justice throughout history and t</w:t>
      </w:r>
      <w:r>
        <w:rPr>
          <w:rFonts w:ascii="EB Garamond" w:eastAsia="EB Garamond" w:hAnsi="EB Garamond" w:cs="EB Garamond"/>
          <w:sz w:val="24"/>
          <w:szCs w:val="24"/>
        </w:rPr>
        <w:t>oday, and in what ways have their struggles been in solidarity with various other groups?</w:t>
      </w:r>
    </w:p>
    <w:p w:rsidR="007C586A" w:rsidRDefault="004111DC">
      <w:pPr>
        <w:numPr>
          <w:ilvl w:val="0"/>
          <w:numId w:val="1"/>
        </w:numPr>
        <w:rPr>
          <w:rFonts w:ascii="EB Garamond" w:eastAsia="EB Garamond" w:hAnsi="EB Garamond" w:cs="EB Garamond"/>
          <w:sz w:val="24"/>
          <w:szCs w:val="24"/>
        </w:rPr>
      </w:pPr>
      <w:r>
        <w:rPr>
          <w:rFonts w:ascii="EB Garamond" w:eastAsia="EB Garamond" w:hAnsi="EB Garamond" w:cs="EB Garamond"/>
          <w:sz w:val="24"/>
          <w:szCs w:val="24"/>
        </w:rPr>
        <w:t>What do the themes of borderlands and mestizaje, which are central to Latinx history, teach us about the country, the world, and ourselves?</w:t>
      </w:r>
    </w:p>
    <w:p w:rsidR="007C586A" w:rsidRDefault="004111DC">
      <w:pPr>
        <w:numPr>
          <w:ilvl w:val="0"/>
          <w:numId w:val="1"/>
        </w:numPr>
        <w:rPr>
          <w:rFonts w:ascii="EB Garamond" w:eastAsia="EB Garamond" w:hAnsi="EB Garamond" w:cs="EB Garamond"/>
          <w:sz w:val="24"/>
          <w:szCs w:val="24"/>
        </w:rPr>
      </w:pPr>
      <w:r>
        <w:rPr>
          <w:rFonts w:ascii="EB Garamond" w:eastAsia="EB Garamond" w:hAnsi="EB Garamond" w:cs="EB Garamond"/>
          <w:sz w:val="24"/>
          <w:szCs w:val="24"/>
        </w:rPr>
        <w:t>What are the unrealized po</w:t>
      </w:r>
      <w:r>
        <w:rPr>
          <w:rFonts w:ascii="EB Garamond" w:eastAsia="EB Garamond" w:hAnsi="EB Garamond" w:cs="EB Garamond"/>
          <w:sz w:val="24"/>
          <w:szCs w:val="24"/>
        </w:rPr>
        <w:t>ssibilities of Reconstruction? What impact does the period of Reconstruction have on our country today?</w:t>
      </w:r>
    </w:p>
    <w:p w:rsidR="007C586A" w:rsidRDefault="004111DC">
      <w:pPr>
        <w:numPr>
          <w:ilvl w:val="0"/>
          <w:numId w:val="1"/>
        </w:numPr>
        <w:rPr>
          <w:rFonts w:ascii="EB Garamond" w:eastAsia="EB Garamond" w:hAnsi="EB Garamond" w:cs="EB Garamond"/>
          <w:sz w:val="24"/>
          <w:szCs w:val="24"/>
        </w:rPr>
      </w:pPr>
      <w:r>
        <w:rPr>
          <w:rFonts w:ascii="EB Garamond" w:eastAsia="EB Garamond" w:hAnsi="EB Garamond" w:cs="EB Garamond"/>
          <w:sz w:val="24"/>
          <w:szCs w:val="24"/>
        </w:rPr>
        <w:t xml:space="preserve">What do Black and Latinx people, history, and culture teach us about radically reimagining new possibilities and more just futures? </w:t>
      </w:r>
    </w:p>
    <w:p w:rsidR="007C586A" w:rsidRDefault="007C586A">
      <w:pPr>
        <w:rPr>
          <w:rFonts w:ascii="EB Garamond" w:eastAsia="EB Garamond" w:hAnsi="EB Garamond" w:cs="EB Garamond"/>
          <w:b/>
          <w:sz w:val="24"/>
          <w:szCs w:val="24"/>
        </w:rPr>
      </w:pPr>
    </w:p>
    <w:tbl>
      <w:tblPr>
        <w:tblStyle w:val="a"/>
        <w:tblW w:w="107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6600"/>
        <w:gridCol w:w="2505"/>
      </w:tblGrid>
      <w:tr w:rsidR="007C586A">
        <w:tc>
          <w:tcPr>
            <w:tcW w:w="162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center"/>
              <w:rPr>
                <w:rFonts w:ascii="EB Garamond" w:eastAsia="EB Garamond" w:hAnsi="EB Garamond" w:cs="EB Garamond"/>
                <w:b/>
                <w:sz w:val="24"/>
                <w:szCs w:val="24"/>
                <w:u w:val="single"/>
              </w:rPr>
            </w:pPr>
            <w:r>
              <w:rPr>
                <w:rFonts w:ascii="EB Garamond" w:eastAsia="EB Garamond" w:hAnsi="EB Garamond" w:cs="EB Garamond"/>
                <w:b/>
                <w:sz w:val="24"/>
                <w:szCs w:val="24"/>
                <w:u w:val="single"/>
              </w:rPr>
              <w:t>Unit</w:t>
            </w:r>
          </w:p>
        </w:tc>
        <w:tc>
          <w:tcPr>
            <w:tcW w:w="660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center"/>
              <w:rPr>
                <w:rFonts w:ascii="EB Garamond" w:eastAsia="EB Garamond" w:hAnsi="EB Garamond" w:cs="EB Garamond"/>
                <w:b/>
                <w:sz w:val="24"/>
                <w:szCs w:val="24"/>
                <w:u w:val="single"/>
              </w:rPr>
            </w:pPr>
            <w:r>
              <w:rPr>
                <w:rFonts w:ascii="EB Garamond" w:eastAsia="EB Garamond" w:hAnsi="EB Garamond" w:cs="EB Garamond"/>
                <w:b/>
                <w:sz w:val="24"/>
                <w:szCs w:val="24"/>
                <w:u w:val="single"/>
              </w:rPr>
              <w:t>Description</w:t>
            </w:r>
          </w:p>
        </w:tc>
        <w:tc>
          <w:tcPr>
            <w:tcW w:w="2505"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center"/>
              <w:rPr>
                <w:rFonts w:ascii="EB Garamond" w:eastAsia="EB Garamond" w:hAnsi="EB Garamond" w:cs="EB Garamond"/>
                <w:b/>
                <w:sz w:val="24"/>
                <w:szCs w:val="24"/>
                <w:u w:val="single"/>
              </w:rPr>
            </w:pPr>
            <w:r>
              <w:rPr>
                <w:rFonts w:ascii="EB Garamond" w:eastAsia="EB Garamond" w:hAnsi="EB Garamond" w:cs="EB Garamond"/>
                <w:b/>
                <w:sz w:val="24"/>
                <w:szCs w:val="24"/>
                <w:u w:val="single"/>
              </w:rPr>
              <w:t>A</w:t>
            </w:r>
            <w:r>
              <w:rPr>
                <w:rFonts w:ascii="EB Garamond" w:eastAsia="EB Garamond" w:hAnsi="EB Garamond" w:cs="EB Garamond"/>
                <w:b/>
                <w:sz w:val="24"/>
                <w:szCs w:val="24"/>
                <w:u w:val="single"/>
              </w:rPr>
              <w:t>ssignments and Dates</w:t>
            </w:r>
          </w:p>
        </w:tc>
      </w:tr>
      <w:tr w:rsidR="007C586A">
        <w:tc>
          <w:tcPr>
            <w:tcW w:w="162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rPr>
                <w:rFonts w:ascii="EB Garamond" w:eastAsia="EB Garamond" w:hAnsi="EB Garamond" w:cs="EB Garamond"/>
                <w:sz w:val="24"/>
                <w:szCs w:val="24"/>
              </w:rPr>
            </w:pPr>
            <w:r>
              <w:rPr>
                <w:rFonts w:ascii="EB Garamond" w:eastAsia="EB Garamond" w:hAnsi="EB Garamond" w:cs="EB Garamond"/>
                <w:b/>
                <w:sz w:val="24"/>
                <w:szCs w:val="24"/>
              </w:rPr>
              <w:t xml:space="preserve">Unit 1: </w:t>
            </w:r>
            <w:r>
              <w:rPr>
                <w:rFonts w:ascii="EB Garamond" w:eastAsia="EB Garamond" w:hAnsi="EB Garamond" w:cs="EB Garamond"/>
                <w:i/>
                <w:sz w:val="24"/>
                <w:szCs w:val="24"/>
              </w:rPr>
              <w:lastRenderedPageBreak/>
              <w:t>What’s in a name?</w:t>
            </w:r>
          </w:p>
        </w:tc>
        <w:tc>
          <w:tcPr>
            <w:tcW w:w="6600" w:type="dxa"/>
            <w:shd w:val="clear" w:color="auto" w:fill="auto"/>
            <w:tcMar>
              <w:top w:w="100" w:type="dxa"/>
              <w:left w:w="100" w:type="dxa"/>
              <w:bottom w:w="100" w:type="dxa"/>
              <w:right w:w="100" w:type="dxa"/>
            </w:tcMar>
          </w:tcPr>
          <w:p w:rsidR="007C586A" w:rsidRDefault="004111DC">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lastRenderedPageBreak/>
              <w:t xml:space="preserve">Language matters, so for this first unit we will analyze the various </w:t>
            </w:r>
            <w:r>
              <w:rPr>
                <w:rFonts w:ascii="EB Garamond" w:eastAsia="EB Garamond" w:hAnsi="EB Garamond" w:cs="EB Garamond"/>
                <w:sz w:val="24"/>
                <w:szCs w:val="24"/>
              </w:rPr>
              <w:lastRenderedPageBreak/>
              <w:t>terms used to label Black and Latinx people, and how they have changed over time. Students will have a small group debate about which terms are most fitting for the communities they claim</w:t>
            </w:r>
            <w:r>
              <w:rPr>
                <w:rFonts w:ascii="EB Garamond" w:eastAsia="EB Garamond" w:hAnsi="EB Garamond" w:cs="EB Garamond"/>
                <w:sz w:val="24"/>
                <w:szCs w:val="24"/>
              </w:rPr>
              <w:t xml:space="preserve"> to represent.</w:t>
            </w:r>
          </w:p>
        </w:tc>
        <w:tc>
          <w:tcPr>
            <w:tcW w:w="2505"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lastRenderedPageBreak/>
              <w:t>S.A.C. (Debate)</w:t>
            </w:r>
          </w:p>
          <w:p w:rsidR="007C586A" w:rsidRDefault="007C586A">
            <w:pPr>
              <w:widowControl w:val="0"/>
              <w:pBdr>
                <w:top w:val="nil"/>
                <w:left w:val="nil"/>
                <w:bottom w:val="nil"/>
                <w:right w:val="nil"/>
                <w:between w:val="nil"/>
              </w:pBdr>
              <w:spacing w:line="240" w:lineRule="auto"/>
              <w:jc w:val="right"/>
              <w:rPr>
                <w:rFonts w:ascii="EB Garamond" w:eastAsia="EB Garamond" w:hAnsi="EB Garamond" w:cs="EB Garamond"/>
                <w:sz w:val="24"/>
                <w:szCs w:val="24"/>
              </w:rPr>
            </w:pPr>
          </w:p>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9/3 - 9/13</w:t>
            </w:r>
          </w:p>
        </w:tc>
      </w:tr>
      <w:tr w:rsidR="007C586A">
        <w:tc>
          <w:tcPr>
            <w:tcW w:w="162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rPr>
                <w:rFonts w:ascii="EB Garamond" w:eastAsia="EB Garamond" w:hAnsi="EB Garamond" w:cs="EB Garamond"/>
                <w:b/>
                <w:sz w:val="24"/>
                <w:szCs w:val="24"/>
              </w:rPr>
            </w:pPr>
            <w:r>
              <w:rPr>
                <w:rFonts w:ascii="EB Garamond" w:eastAsia="EB Garamond" w:hAnsi="EB Garamond" w:cs="EB Garamond"/>
                <w:b/>
                <w:sz w:val="24"/>
                <w:szCs w:val="24"/>
              </w:rPr>
              <w:lastRenderedPageBreak/>
              <w:t xml:space="preserve">Unit 2: </w:t>
            </w:r>
          </w:p>
          <w:p w:rsidR="007C586A" w:rsidRDefault="004111DC">
            <w:pPr>
              <w:widowControl w:val="0"/>
              <w:pBdr>
                <w:top w:val="nil"/>
                <w:left w:val="nil"/>
                <w:bottom w:val="nil"/>
                <w:right w:val="nil"/>
                <w:between w:val="nil"/>
              </w:pBdr>
              <w:spacing w:line="240" w:lineRule="auto"/>
              <w:rPr>
                <w:rFonts w:ascii="EB Garamond" w:eastAsia="EB Garamond" w:hAnsi="EB Garamond" w:cs="EB Garamond"/>
                <w:b/>
                <w:sz w:val="24"/>
                <w:szCs w:val="24"/>
              </w:rPr>
            </w:pPr>
            <w:r>
              <w:rPr>
                <w:rFonts w:ascii="EB Garamond" w:eastAsia="EB Garamond" w:hAnsi="EB Garamond" w:cs="EB Garamond"/>
                <w:i/>
                <w:sz w:val="24"/>
                <w:szCs w:val="24"/>
              </w:rPr>
              <w:t>Africa and Indigenous Latin America</w:t>
            </w:r>
          </w:p>
        </w:tc>
        <w:tc>
          <w:tcPr>
            <w:tcW w:w="660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The history of African American and Latinx people begins with the powerful civilizations of Africa and Latin America. We will analyze their cultures and histories, as well as their resistance to enslavement and colonization.</w:t>
            </w:r>
          </w:p>
        </w:tc>
        <w:tc>
          <w:tcPr>
            <w:tcW w:w="2505"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Analysis: Museum Exhibit</w:t>
            </w:r>
          </w:p>
          <w:p w:rsidR="007C586A" w:rsidRDefault="004111DC">
            <w:pPr>
              <w:widowControl w:val="0"/>
              <w:pBdr>
                <w:top w:val="nil"/>
                <w:left w:val="nil"/>
                <w:bottom w:val="nil"/>
                <w:right w:val="nil"/>
                <w:between w:val="nil"/>
              </w:pBdr>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 xml:space="preserve"> </w:t>
            </w:r>
          </w:p>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9/16</w:t>
            </w:r>
            <w:r>
              <w:rPr>
                <w:rFonts w:ascii="EB Garamond" w:eastAsia="EB Garamond" w:hAnsi="EB Garamond" w:cs="EB Garamond"/>
                <w:sz w:val="24"/>
                <w:szCs w:val="24"/>
              </w:rPr>
              <w:t xml:space="preserve"> - 9/27 </w:t>
            </w:r>
          </w:p>
        </w:tc>
      </w:tr>
      <w:tr w:rsidR="007C586A">
        <w:tc>
          <w:tcPr>
            <w:tcW w:w="162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rPr>
                <w:rFonts w:ascii="EB Garamond" w:eastAsia="EB Garamond" w:hAnsi="EB Garamond" w:cs="EB Garamond"/>
                <w:b/>
                <w:sz w:val="24"/>
                <w:szCs w:val="24"/>
              </w:rPr>
            </w:pPr>
            <w:r>
              <w:rPr>
                <w:rFonts w:ascii="EB Garamond" w:eastAsia="EB Garamond" w:hAnsi="EB Garamond" w:cs="EB Garamond"/>
                <w:b/>
                <w:sz w:val="24"/>
                <w:szCs w:val="24"/>
              </w:rPr>
              <w:t xml:space="preserve">Unit 3: </w:t>
            </w:r>
            <w:r>
              <w:rPr>
                <w:rFonts w:ascii="EB Garamond" w:eastAsia="EB Garamond" w:hAnsi="EB Garamond" w:cs="EB Garamond"/>
                <w:i/>
                <w:sz w:val="24"/>
                <w:szCs w:val="24"/>
              </w:rPr>
              <w:t>Abolition, Independence, and Revolution</w:t>
            </w:r>
          </w:p>
        </w:tc>
        <w:tc>
          <w:tcPr>
            <w:tcW w:w="660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As soon as slavery began in the U.S., Africans and African Americans were fighting for emancipation. At the same time, in Central and South America, Indigenous and Latinx people were fighting for independence from Spain, and later for revolution. We will e</w:t>
            </w:r>
            <w:r>
              <w:rPr>
                <w:rFonts w:ascii="EB Garamond" w:eastAsia="EB Garamond" w:hAnsi="EB Garamond" w:cs="EB Garamond"/>
                <w:sz w:val="24"/>
                <w:szCs w:val="24"/>
              </w:rPr>
              <w:t>xamine these struggles, and their intersections.</w:t>
            </w:r>
          </w:p>
        </w:tc>
        <w:tc>
          <w:tcPr>
            <w:tcW w:w="2505"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Role Play: Mexican American War</w:t>
            </w:r>
          </w:p>
          <w:p w:rsidR="007C586A" w:rsidRDefault="007C586A">
            <w:pPr>
              <w:widowControl w:val="0"/>
              <w:pBdr>
                <w:top w:val="nil"/>
                <w:left w:val="nil"/>
                <w:bottom w:val="nil"/>
                <w:right w:val="nil"/>
                <w:between w:val="nil"/>
              </w:pBdr>
              <w:spacing w:line="240" w:lineRule="auto"/>
              <w:jc w:val="right"/>
              <w:rPr>
                <w:rFonts w:ascii="EB Garamond" w:eastAsia="EB Garamond" w:hAnsi="EB Garamond" w:cs="EB Garamond"/>
                <w:sz w:val="24"/>
                <w:szCs w:val="24"/>
              </w:rPr>
            </w:pPr>
          </w:p>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10/21 - 11/15</w:t>
            </w:r>
          </w:p>
          <w:p w:rsidR="007C586A" w:rsidRDefault="007C586A">
            <w:pPr>
              <w:widowControl w:val="0"/>
              <w:spacing w:line="240" w:lineRule="auto"/>
              <w:jc w:val="right"/>
              <w:rPr>
                <w:rFonts w:ascii="EB Garamond" w:eastAsia="EB Garamond" w:hAnsi="EB Garamond" w:cs="EB Garamond"/>
                <w:sz w:val="24"/>
                <w:szCs w:val="24"/>
              </w:rPr>
            </w:pPr>
          </w:p>
        </w:tc>
      </w:tr>
      <w:tr w:rsidR="007C586A">
        <w:trPr>
          <w:trHeight w:val="1320"/>
        </w:trPr>
        <w:tc>
          <w:tcPr>
            <w:tcW w:w="162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rPr>
                <w:rFonts w:ascii="EB Garamond" w:eastAsia="EB Garamond" w:hAnsi="EB Garamond" w:cs="EB Garamond"/>
                <w:b/>
                <w:sz w:val="24"/>
                <w:szCs w:val="24"/>
              </w:rPr>
            </w:pPr>
            <w:r>
              <w:rPr>
                <w:rFonts w:ascii="EB Garamond" w:eastAsia="EB Garamond" w:hAnsi="EB Garamond" w:cs="EB Garamond"/>
                <w:b/>
                <w:sz w:val="24"/>
                <w:szCs w:val="24"/>
              </w:rPr>
              <w:t xml:space="preserve">Unit 4: </w:t>
            </w:r>
            <w:r>
              <w:rPr>
                <w:rFonts w:ascii="EB Garamond" w:eastAsia="EB Garamond" w:hAnsi="EB Garamond" w:cs="EB Garamond"/>
                <w:i/>
                <w:sz w:val="24"/>
                <w:szCs w:val="24"/>
              </w:rPr>
              <w:t>Moving Borders / Moving Across Borders</w:t>
            </w:r>
          </w:p>
        </w:tc>
        <w:tc>
          <w:tcPr>
            <w:tcW w:w="660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 xml:space="preserve">Not only have Latinx people long been crossing borders to safety, but also borders have been crossing them, changing their government, their national identity, and their citizenship status without their consent. The popular saying amongst Chicanos is: “We </w:t>
            </w:r>
            <w:r>
              <w:rPr>
                <w:rFonts w:ascii="EB Garamond" w:eastAsia="EB Garamond" w:hAnsi="EB Garamond" w:cs="EB Garamond"/>
                <w:sz w:val="24"/>
                <w:szCs w:val="24"/>
              </w:rPr>
              <w:t>didn’t cross the border; the border crossed us.” This will be a theme for this unit.</w:t>
            </w:r>
          </w:p>
        </w:tc>
        <w:tc>
          <w:tcPr>
            <w:tcW w:w="2505"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Creative Project and Exhibition</w:t>
            </w:r>
          </w:p>
          <w:p w:rsidR="007C586A" w:rsidRDefault="007C586A">
            <w:pPr>
              <w:widowControl w:val="0"/>
              <w:pBdr>
                <w:top w:val="nil"/>
                <w:left w:val="nil"/>
                <w:bottom w:val="nil"/>
                <w:right w:val="nil"/>
                <w:between w:val="nil"/>
              </w:pBdr>
              <w:spacing w:line="240" w:lineRule="auto"/>
              <w:jc w:val="right"/>
              <w:rPr>
                <w:rFonts w:ascii="EB Garamond" w:eastAsia="EB Garamond" w:hAnsi="EB Garamond" w:cs="EB Garamond"/>
                <w:sz w:val="24"/>
                <w:szCs w:val="24"/>
              </w:rPr>
            </w:pPr>
          </w:p>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11/18 - 12/20</w:t>
            </w:r>
          </w:p>
        </w:tc>
      </w:tr>
      <w:tr w:rsidR="007C586A">
        <w:tc>
          <w:tcPr>
            <w:tcW w:w="162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rPr>
                <w:rFonts w:ascii="EB Garamond" w:eastAsia="EB Garamond" w:hAnsi="EB Garamond" w:cs="EB Garamond"/>
                <w:i/>
                <w:sz w:val="24"/>
                <w:szCs w:val="24"/>
              </w:rPr>
            </w:pPr>
            <w:r>
              <w:rPr>
                <w:rFonts w:ascii="EB Garamond" w:eastAsia="EB Garamond" w:hAnsi="EB Garamond" w:cs="EB Garamond"/>
                <w:b/>
                <w:sz w:val="24"/>
                <w:szCs w:val="24"/>
              </w:rPr>
              <w:t xml:space="preserve">Unit 5: </w:t>
            </w:r>
            <w:r>
              <w:rPr>
                <w:rFonts w:ascii="EB Garamond" w:eastAsia="EB Garamond" w:hAnsi="EB Garamond" w:cs="EB Garamond"/>
                <w:i/>
                <w:sz w:val="24"/>
                <w:szCs w:val="24"/>
              </w:rPr>
              <w:t>Reconstruction and Black Excellence</w:t>
            </w:r>
          </w:p>
          <w:p w:rsidR="007C586A" w:rsidRDefault="007C586A">
            <w:pPr>
              <w:widowControl w:val="0"/>
              <w:pBdr>
                <w:top w:val="nil"/>
                <w:left w:val="nil"/>
                <w:bottom w:val="nil"/>
                <w:right w:val="nil"/>
                <w:between w:val="nil"/>
              </w:pBdr>
              <w:spacing w:line="240" w:lineRule="auto"/>
              <w:rPr>
                <w:rFonts w:ascii="EB Garamond" w:eastAsia="EB Garamond" w:hAnsi="EB Garamond" w:cs="EB Garamond"/>
                <w:i/>
                <w:sz w:val="24"/>
                <w:szCs w:val="24"/>
              </w:rPr>
            </w:pPr>
          </w:p>
        </w:tc>
        <w:tc>
          <w:tcPr>
            <w:tcW w:w="660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The period after emancipation, known as Reconstruction, has played a huge role in the state of our country today. It was a time of contradictions, of progress and backlash. In the face of newfound emancipation and ongoing struggles for freedom, it was also</w:t>
            </w:r>
            <w:r>
              <w:rPr>
                <w:rFonts w:ascii="EB Garamond" w:eastAsia="EB Garamond" w:hAnsi="EB Garamond" w:cs="EB Garamond"/>
                <w:sz w:val="24"/>
                <w:szCs w:val="24"/>
              </w:rPr>
              <w:t xml:space="preserve"> a time of black excellence. This unit will be an examination of that.</w:t>
            </w:r>
          </w:p>
        </w:tc>
        <w:tc>
          <w:tcPr>
            <w:tcW w:w="2505" w:type="dxa"/>
            <w:shd w:val="clear" w:color="auto" w:fill="auto"/>
            <w:tcMar>
              <w:top w:w="100" w:type="dxa"/>
              <w:left w:w="100" w:type="dxa"/>
              <w:bottom w:w="100" w:type="dxa"/>
              <w:right w:w="100" w:type="dxa"/>
            </w:tcMar>
          </w:tcPr>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A People’s History of Black and Latinx New Haven Map Project</w:t>
            </w:r>
          </w:p>
          <w:p w:rsidR="007C586A" w:rsidRDefault="007C586A">
            <w:pPr>
              <w:widowControl w:val="0"/>
              <w:spacing w:line="240" w:lineRule="auto"/>
              <w:jc w:val="right"/>
              <w:rPr>
                <w:rFonts w:ascii="EB Garamond" w:eastAsia="EB Garamond" w:hAnsi="EB Garamond" w:cs="EB Garamond"/>
                <w:sz w:val="24"/>
                <w:szCs w:val="24"/>
              </w:rPr>
            </w:pPr>
          </w:p>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 xml:space="preserve">1/2 - 2/14 </w:t>
            </w:r>
          </w:p>
        </w:tc>
      </w:tr>
      <w:tr w:rsidR="007C586A">
        <w:tc>
          <w:tcPr>
            <w:tcW w:w="162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rPr>
                <w:rFonts w:ascii="EB Garamond" w:eastAsia="EB Garamond" w:hAnsi="EB Garamond" w:cs="EB Garamond"/>
                <w:b/>
                <w:sz w:val="24"/>
                <w:szCs w:val="24"/>
              </w:rPr>
            </w:pPr>
            <w:r>
              <w:rPr>
                <w:rFonts w:ascii="EB Garamond" w:eastAsia="EB Garamond" w:hAnsi="EB Garamond" w:cs="EB Garamond"/>
                <w:b/>
                <w:sz w:val="24"/>
                <w:szCs w:val="24"/>
              </w:rPr>
              <w:t xml:space="preserve">Unit 6: </w:t>
            </w:r>
            <w:r>
              <w:rPr>
                <w:rFonts w:ascii="EB Garamond" w:eastAsia="EB Garamond" w:hAnsi="EB Garamond" w:cs="EB Garamond"/>
                <w:i/>
                <w:sz w:val="24"/>
                <w:szCs w:val="24"/>
              </w:rPr>
              <w:t>Legacies of Resistance Research Paper</w:t>
            </w:r>
          </w:p>
        </w:tc>
        <w:tc>
          <w:tcPr>
            <w:tcW w:w="6600"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We will conclude this course by researching the legacies of resistance of Black and Latinx people. Students will choose from a long list of topics, each selecting a different form of resistance to research, write about, and share with their peers. Research</w:t>
            </w:r>
            <w:r>
              <w:rPr>
                <w:rFonts w:ascii="EB Garamond" w:eastAsia="EB Garamond" w:hAnsi="EB Garamond" w:cs="EB Garamond"/>
                <w:sz w:val="24"/>
                <w:szCs w:val="24"/>
              </w:rPr>
              <w:t xml:space="preserve"> papers will be 6-8 pages, including at least 6 sources, and will be shared in a presentation at our school’s fourth annual Social Justice Symposium on May 22nd!</w:t>
            </w:r>
          </w:p>
        </w:tc>
        <w:tc>
          <w:tcPr>
            <w:tcW w:w="2505" w:type="dxa"/>
            <w:shd w:val="clear" w:color="auto" w:fill="auto"/>
            <w:tcMar>
              <w:top w:w="100" w:type="dxa"/>
              <w:left w:w="100" w:type="dxa"/>
              <w:bottom w:w="100" w:type="dxa"/>
              <w:right w:w="100" w:type="dxa"/>
            </w:tcMar>
          </w:tcPr>
          <w:p w:rsidR="007C586A" w:rsidRDefault="004111DC">
            <w:pPr>
              <w:widowControl w:val="0"/>
              <w:pBdr>
                <w:top w:val="nil"/>
                <w:left w:val="nil"/>
                <w:bottom w:val="nil"/>
                <w:right w:val="nil"/>
                <w:between w:val="nil"/>
              </w:pBdr>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College Level Research Paper and Social Justice Symposium Presentation</w:t>
            </w:r>
          </w:p>
          <w:p w:rsidR="007C586A" w:rsidRDefault="007C586A">
            <w:pPr>
              <w:widowControl w:val="0"/>
              <w:pBdr>
                <w:top w:val="nil"/>
                <w:left w:val="nil"/>
                <w:bottom w:val="nil"/>
                <w:right w:val="nil"/>
                <w:between w:val="nil"/>
              </w:pBdr>
              <w:spacing w:line="240" w:lineRule="auto"/>
              <w:jc w:val="right"/>
              <w:rPr>
                <w:rFonts w:ascii="EB Garamond" w:eastAsia="EB Garamond" w:hAnsi="EB Garamond" w:cs="EB Garamond"/>
                <w:sz w:val="24"/>
                <w:szCs w:val="24"/>
              </w:rPr>
            </w:pPr>
          </w:p>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 xml:space="preserve">2/24 - 5/22 </w:t>
            </w:r>
          </w:p>
        </w:tc>
      </w:tr>
    </w:tbl>
    <w:p w:rsidR="007C586A" w:rsidRDefault="007C586A">
      <w:pPr>
        <w:rPr>
          <w:rFonts w:ascii="EB Garamond" w:eastAsia="EB Garamond" w:hAnsi="EB Garamond" w:cs="EB Garamond"/>
          <w:sz w:val="24"/>
          <w:szCs w:val="24"/>
        </w:rPr>
      </w:pPr>
    </w:p>
    <w:tbl>
      <w:tblPr>
        <w:tblStyle w:val="a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530"/>
        <w:gridCol w:w="1350"/>
      </w:tblGrid>
      <w:tr w:rsidR="007C586A">
        <w:tc>
          <w:tcPr>
            <w:tcW w:w="1920" w:type="dxa"/>
            <w:shd w:val="clear" w:color="auto" w:fill="auto"/>
            <w:tcMar>
              <w:top w:w="100" w:type="dxa"/>
              <w:left w:w="100" w:type="dxa"/>
              <w:bottom w:w="100" w:type="dxa"/>
              <w:right w:w="100" w:type="dxa"/>
            </w:tcMar>
          </w:tcPr>
          <w:p w:rsidR="007C586A" w:rsidRDefault="004111DC">
            <w:pPr>
              <w:jc w:val="center"/>
              <w:rPr>
                <w:rFonts w:ascii="EB Garamond" w:eastAsia="EB Garamond" w:hAnsi="EB Garamond" w:cs="EB Garamond"/>
                <w:b/>
                <w:sz w:val="24"/>
                <w:szCs w:val="24"/>
                <w:u w:val="single"/>
              </w:rPr>
            </w:pPr>
            <w:r>
              <w:rPr>
                <w:rFonts w:ascii="EB Garamond" w:eastAsia="EB Garamond" w:hAnsi="EB Garamond" w:cs="EB Garamond"/>
                <w:b/>
                <w:sz w:val="24"/>
                <w:szCs w:val="24"/>
                <w:u w:val="single"/>
              </w:rPr>
              <w:t>Assignments</w:t>
            </w:r>
          </w:p>
        </w:tc>
        <w:tc>
          <w:tcPr>
            <w:tcW w:w="7530" w:type="dxa"/>
            <w:shd w:val="clear" w:color="auto" w:fill="auto"/>
            <w:tcMar>
              <w:top w:w="100" w:type="dxa"/>
              <w:left w:w="100" w:type="dxa"/>
              <w:bottom w:w="100" w:type="dxa"/>
              <w:right w:w="100" w:type="dxa"/>
            </w:tcMar>
          </w:tcPr>
          <w:p w:rsidR="007C586A" w:rsidRDefault="004111DC">
            <w:pPr>
              <w:widowControl w:val="0"/>
              <w:spacing w:line="240" w:lineRule="auto"/>
              <w:jc w:val="center"/>
              <w:rPr>
                <w:rFonts w:ascii="EB Garamond" w:eastAsia="EB Garamond" w:hAnsi="EB Garamond" w:cs="EB Garamond"/>
                <w:b/>
                <w:sz w:val="24"/>
                <w:szCs w:val="24"/>
                <w:u w:val="single"/>
              </w:rPr>
            </w:pPr>
            <w:r>
              <w:rPr>
                <w:rFonts w:ascii="EB Garamond" w:eastAsia="EB Garamond" w:hAnsi="EB Garamond" w:cs="EB Garamond"/>
                <w:b/>
                <w:sz w:val="24"/>
                <w:szCs w:val="24"/>
                <w:u w:val="single"/>
              </w:rPr>
              <w:t>Description</w:t>
            </w:r>
          </w:p>
        </w:tc>
        <w:tc>
          <w:tcPr>
            <w:tcW w:w="1350" w:type="dxa"/>
            <w:shd w:val="clear" w:color="auto" w:fill="auto"/>
            <w:tcMar>
              <w:top w:w="100" w:type="dxa"/>
              <w:left w:w="100" w:type="dxa"/>
              <w:bottom w:w="100" w:type="dxa"/>
              <w:right w:w="100" w:type="dxa"/>
            </w:tcMar>
          </w:tcPr>
          <w:p w:rsidR="007C586A" w:rsidRDefault="004111DC">
            <w:pPr>
              <w:widowControl w:val="0"/>
              <w:spacing w:line="240" w:lineRule="auto"/>
              <w:jc w:val="center"/>
              <w:rPr>
                <w:rFonts w:ascii="EB Garamond" w:eastAsia="EB Garamond" w:hAnsi="EB Garamond" w:cs="EB Garamond"/>
                <w:b/>
                <w:sz w:val="24"/>
                <w:szCs w:val="24"/>
                <w:u w:val="single"/>
              </w:rPr>
            </w:pPr>
            <w:r>
              <w:rPr>
                <w:rFonts w:ascii="EB Garamond" w:eastAsia="EB Garamond" w:hAnsi="EB Garamond" w:cs="EB Garamond"/>
                <w:b/>
                <w:sz w:val="24"/>
                <w:szCs w:val="24"/>
                <w:u w:val="single"/>
              </w:rPr>
              <w:t>Percentage</w:t>
            </w:r>
          </w:p>
        </w:tc>
      </w:tr>
      <w:tr w:rsidR="007C586A">
        <w:tc>
          <w:tcPr>
            <w:tcW w:w="1920" w:type="dxa"/>
            <w:shd w:val="clear" w:color="auto" w:fill="auto"/>
            <w:tcMar>
              <w:top w:w="100" w:type="dxa"/>
              <w:left w:w="100" w:type="dxa"/>
              <w:bottom w:w="100" w:type="dxa"/>
              <w:right w:w="100" w:type="dxa"/>
            </w:tcMar>
          </w:tcPr>
          <w:p w:rsidR="007C586A" w:rsidRDefault="004111DC">
            <w:pPr>
              <w:rPr>
                <w:rFonts w:ascii="EB Garamond" w:eastAsia="EB Garamond" w:hAnsi="EB Garamond" w:cs="EB Garamond"/>
                <w:b/>
                <w:sz w:val="24"/>
                <w:szCs w:val="24"/>
              </w:rPr>
            </w:pPr>
            <w:r>
              <w:rPr>
                <w:rFonts w:ascii="EB Garamond" w:eastAsia="EB Garamond" w:hAnsi="EB Garamond" w:cs="EB Garamond"/>
                <w:b/>
                <w:sz w:val="24"/>
                <w:szCs w:val="24"/>
              </w:rPr>
              <w:t>Projects</w:t>
            </w:r>
          </w:p>
        </w:tc>
        <w:tc>
          <w:tcPr>
            <w:tcW w:w="7530" w:type="dxa"/>
            <w:shd w:val="clear" w:color="auto" w:fill="auto"/>
            <w:tcMar>
              <w:top w:w="100" w:type="dxa"/>
              <w:left w:w="100" w:type="dxa"/>
              <w:bottom w:w="100" w:type="dxa"/>
              <w:right w:w="100" w:type="dxa"/>
            </w:tcMar>
          </w:tcPr>
          <w:p w:rsidR="007C586A" w:rsidRDefault="004111DC">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This class is project-based, and each of the above units concludes with a project, culminating in our largest project, a college level research paper and presentation, which we will work on throughout the third trimester.</w:t>
            </w:r>
          </w:p>
        </w:tc>
        <w:tc>
          <w:tcPr>
            <w:tcW w:w="1350" w:type="dxa"/>
            <w:shd w:val="clear" w:color="auto" w:fill="auto"/>
            <w:tcMar>
              <w:top w:w="100" w:type="dxa"/>
              <w:left w:w="100" w:type="dxa"/>
              <w:bottom w:w="100" w:type="dxa"/>
              <w:right w:w="100" w:type="dxa"/>
            </w:tcMar>
          </w:tcPr>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50%</w:t>
            </w:r>
          </w:p>
        </w:tc>
      </w:tr>
      <w:tr w:rsidR="007C586A">
        <w:tc>
          <w:tcPr>
            <w:tcW w:w="1920" w:type="dxa"/>
            <w:shd w:val="clear" w:color="auto" w:fill="auto"/>
            <w:tcMar>
              <w:top w:w="100" w:type="dxa"/>
              <w:left w:w="100" w:type="dxa"/>
              <w:bottom w:w="100" w:type="dxa"/>
              <w:right w:w="100" w:type="dxa"/>
            </w:tcMar>
          </w:tcPr>
          <w:p w:rsidR="007C586A" w:rsidRDefault="004111DC">
            <w:pPr>
              <w:widowControl w:val="0"/>
              <w:spacing w:line="240" w:lineRule="auto"/>
              <w:rPr>
                <w:rFonts w:ascii="EB Garamond" w:eastAsia="EB Garamond" w:hAnsi="EB Garamond" w:cs="EB Garamond"/>
                <w:b/>
                <w:sz w:val="24"/>
                <w:szCs w:val="24"/>
              </w:rPr>
            </w:pPr>
            <w:r>
              <w:rPr>
                <w:rFonts w:ascii="EB Garamond" w:eastAsia="EB Garamond" w:hAnsi="EB Garamond" w:cs="EB Garamond"/>
                <w:b/>
                <w:sz w:val="24"/>
                <w:szCs w:val="24"/>
              </w:rPr>
              <w:t>Core Questions</w:t>
            </w:r>
          </w:p>
        </w:tc>
        <w:tc>
          <w:tcPr>
            <w:tcW w:w="7530" w:type="dxa"/>
            <w:shd w:val="clear" w:color="auto" w:fill="auto"/>
            <w:tcMar>
              <w:top w:w="100" w:type="dxa"/>
              <w:left w:w="100" w:type="dxa"/>
              <w:bottom w:w="100" w:type="dxa"/>
              <w:right w:w="100" w:type="dxa"/>
            </w:tcMar>
          </w:tcPr>
          <w:p w:rsidR="007C586A" w:rsidRDefault="004111DC">
            <w:pPr>
              <w:jc w:val="center"/>
              <w:rPr>
                <w:rFonts w:ascii="EB Garamond" w:eastAsia="EB Garamond" w:hAnsi="EB Garamond" w:cs="EB Garamond"/>
                <w:sz w:val="24"/>
                <w:szCs w:val="24"/>
              </w:rPr>
            </w:pPr>
            <w:r>
              <w:rPr>
                <w:rFonts w:ascii="EB Garamond" w:eastAsia="EB Garamond" w:hAnsi="EB Garamond" w:cs="EB Garamond"/>
                <w:sz w:val="24"/>
                <w:szCs w:val="24"/>
              </w:rPr>
              <w:t>Core questions</w:t>
            </w:r>
            <w:r>
              <w:rPr>
                <w:rFonts w:ascii="EB Garamond" w:eastAsia="EB Garamond" w:hAnsi="EB Garamond" w:cs="EB Garamond"/>
                <w:sz w:val="24"/>
                <w:szCs w:val="24"/>
              </w:rPr>
              <w:t xml:space="preserve"> guide the day’s lesson. Students will answer the questions at the end of class to demonstrate their understanding and critical thinking skills.</w:t>
            </w:r>
          </w:p>
        </w:tc>
        <w:tc>
          <w:tcPr>
            <w:tcW w:w="1350" w:type="dxa"/>
            <w:shd w:val="clear" w:color="auto" w:fill="auto"/>
            <w:tcMar>
              <w:top w:w="100" w:type="dxa"/>
              <w:left w:w="100" w:type="dxa"/>
              <w:bottom w:w="100" w:type="dxa"/>
              <w:right w:w="100" w:type="dxa"/>
            </w:tcMar>
          </w:tcPr>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20%</w:t>
            </w:r>
          </w:p>
        </w:tc>
      </w:tr>
      <w:tr w:rsidR="007C586A">
        <w:tc>
          <w:tcPr>
            <w:tcW w:w="1920" w:type="dxa"/>
            <w:shd w:val="clear" w:color="auto" w:fill="auto"/>
            <w:tcMar>
              <w:top w:w="100" w:type="dxa"/>
              <w:left w:w="100" w:type="dxa"/>
              <w:bottom w:w="100" w:type="dxa"/>
              <w:right w:w="100" w:type="dxa"/>
            </w:tcMar>
          </w:tcPr>
          <w:p w:rsidR="007C586A" w:rsidRDefault="004111DC">
            <w:pPr>
              <w:widowControl w:val="0"/>
              <w:spacing w:line="240" w:lineRule="auto"/>
              <w:rPr>
                <w:rFonts w:ascii="EB Garamond" w:eastAsia="EB Garamond" w:hAnsi="EB Garamond" w:cs="EB Garamond"/>
                <w:b/>
                <w:sz w:val="24"/>
                <w:szCs w:val="24"/>
              </w:rPr>
            </w:pPr>
            <w:r>
              <w:rPr>
                <w:rFonts w:ascii="EB Garamond" w:eastAsia="EB Garamond" w:hAnsi="EB Garamond" w:cs="EB Garamond"/>
                <w:b/>
                <w:sz w:val="24"/>
                <w:szCs w:val="24"/>
              </w:rPr>
              <w:t>Class Discussion and Classwork</w:t>
            </w:r>
          </w:p>
        </w:tc>
        <w:tc>
          <w:tcPr>
            <w:tcW w:w="7530" w:type="dxa"/>
            <w:shd w:val="clear" w:color="auto" w:fill="auto"/>
            <w:tcMar>
              <w:top w:w="100" w:type="dxa"/>
              <w:left w:w="100" w:type="dxa"/>
              <w:bottom w:w="100" w:type="dxa"/>
              <w:right w:w="100" w:type="dxa"/>
            </w:tcMar>
          </w:tcPr>
          <w:p w:rsidR="007C586A" w:rsidRDefault="004111DC">
            <w:pPr>
              <w:jc w:val="center"/>
              <w:rPr>
                <w:rFonts w:ascii="EB Garamond" w:eastAsia="EB Garamond" w:hAnsi="EB Garamond" w:cs="EB Garamond"/>
                <w:sz w:val="24"/>
                <w:szCs w:val="24"/>
              </w:rPr>
            </w:pPr>
            <w:r>
              <w:rPr>
                <w:rFonts w:ascii="EB Garamond" w:eastAsia="EB Garamond" w:hAnsi="EB Garamond" w:cs="EB Garamond"/>
                <w:sz w:val="24"/>
                <w:szCs w:val="24"/>
              </w:rPr>
              <w:t xml:space="preserve">Class discussions will be a significant element of this class, and will be supported </w:t>
            </w:r>
            <w:r>
              <w:rPr>
                <w:rFonts w:ascii="EB Garamond" w:eastAsia="EB Garamond" w:hAnsi="EB Garamond" w:cs="EB Garamond"/>
                <w:sz w:val="24"/>
                <w:szCs w:val="24"/>
              </w:rPr>
              <w:lastRenderedPageBreak/>
              <w:t>by daily classwork. Regular participation is essential for doing well in the class, and for preparing for college and/or career.</w:t>
            </w:r>
          </w:p>
        </w:tc>
        <w:tc>
          <w:tcPr>
            <w:tcW w:w="1350" w:type="dxa"/>
            <w:shd w:val="clear" w:color="auto" w:fill="auto"/>
            <w:tcMar>
              <w:top w:w="100" w:type="dxa"/>
              <w:left w:w="100" w:type="dxa"/>
              <w:bottom w:w="100" w:type="dxa"/>
              <w:right w:w="100" w:type="dxa"/>
            </w:tcMar>
          </w:tcPr>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lastRenderedPageBreak/>
              <w:t>20%</w:t>
            </w:r>
          </w:p>
        </w:tc>
      </w:tr>
      <w:tr w:rsidR="007C586A">
        <w:tc>
          <w:tcPr>
            <w:tcW w:w="1920" w:type="dxa"/>
            <w:shd w:val="clear" w:color="auto" w:fill="auto"/>
            <w:tcMar>
              <w:top w:w="100" w:type="dxa"/>
              <w:left w:w="100" w:type="dxa"/>
              <w:bottom w:w="100" w:type="dxa"/>
              <w:right w:w="100" w:type="dxa"/>
            </w:tcMar>
          </w:tcPr>
          <w:p w:rsidR="007C586A" w:rsidRDefault="004111DC">
            <w:pPr>
              <w:widowControl w:val="0"/>
              <w:spacing w:line="240" w:lineRule="auto"/>
              <w:rPr>
                <w:rFonts w:ascii="EB Garamond" w:eastAsia="EB Garamond" w:hAnsi="EB Garamond" w:cs="EB Garamond"/>
                <w:b/>
                <w:sz w:val="24"/>
                <w:szCs w:val="24"/>
              </w:rPr>
            </w:pPr>
            <w:r>
              <w:rPr>
                <w:rFonts w:ascii="EB Garamond" w:eastAsia="EB Garamond" w:hAnsi="EB Garamond" w:cs="EB Garamond"/>
                <w:b/>
                <w:sz w:val="24"/>
                <w:szCs w:val="24"/>
              </w:rPr>
              <w:lastRenderedPageBreak/>
              <w:t>Opener Facilitation</w:t>
            </w:r>
          </w:p>
        </w:tc>
        <w:tc>
          <w:tcPr>
            <w:tcW w:w="7530" w:type="dxa"/>
            <w:shd w:val="clear" w:color="auto" w:fill="auto"/>
            <w:tcMar>
              <w:top w:w="100" w:type="dxa"/>
              <w:left w:w="100" w:type="dxa"/>
              <w:bottom w:w="100" w:type="dxa"/>
              <w:right w:w="100" w:type="dxa"/>
            </w:tcMar>
          </w:tcPr>
          <w:p w:rsidR="007C586A" w:rsidRDefault="004111DC">
            <w:pPr>
              <w:jc w:val="center"/>
              <w:rPr>
                <w:rFonts w:ascii="EB Garamond" w:eastAsia="EB Garamond" w:hAnsi="EB Garamond" w:cs="EB Garamond"/>
                <w:sz w:val="24"/>
                <w:szCs w:val="24"/>
              </w:rPr>
            </w:pPr>
            <w:r>
              <w:rPr>
                <w:rFonts w:ascii="EB Garamond" w:eastAsia="EB Garamond" w:hAnsi="EB Garamond" w:cs="EB Garamond"/>
                <w:sz w:val="24"/>
                <w:szCs w:val="24"/>
              </w:rPr>
              <w:t>Openers will focu</w:t>
            </w:r>
            <w:r>
              <w:rPr>
                <w:rFonts w:ascii="EB Garamond" w:eastAsia="EB Garamond" w:hAnsi="EB Garamond" w:cs="EB Garamond"/>
                <w:sz w:val="24"/>
                <w:szCs w:val="24"/>
              </w:rPr>
              <w:t>s on historic figures, and each student must facilitate one: researching an inspiring Black and/or Latinx person (a list will be provided), educating your classmates about them through facts and quotes, and leading peers in a brief class discussion, provid</w:t>
            </w:r>
            <w:r>
              <w:rPr>
                <w:rFonts w:ascii="EB Garamond" w:eastAsia="EB Garamond" w:hAnsi="EB Garamond" w:cs="EB Garamond"/>
                <w:sz w:val="24"/>
                <w:szCs w:val="24"/>
              </w:rPr>
              <w:t>ing a thoughtful guiding question.</w:t>
            </w:r>
          </w:p>
        </w:tc>
        <w:tc>
          <w:tcPr>
            <w:tcW w:w="1350" w:type="dxa"/>
            <w:shd w:val="clear" w:color="auto" w:fill="auto"/>
            <w:tcMar>
              <w:top w:w="100" w:type="dxa"/>
              <w:left w:w="100" w:type="dxa"/>
              <w:bottom w:w="100" w:type="dxa"/>
              <w:right w:w="100" w:type="dxa"/>
            </w:tcMar>
          </w:tcPr>
          <w:p w:rsidR="007C586A" w:rsidRDefault="004111DC">
            <w:pPr>
              <w:widowControl w:val="0"/>
              <w:spacing w:line="240" w:lineRule="auto"/>
              <w:jc w:val="right"/>
              <w:rPr>
                <w:rFonts w:ascii="EB Garamond" w:eastAsia="EB Garamond" w:hAnsi="EB Garamond" w:cs="EB Garamond"/>
                <w:sz w:val="24"/>
                <w:szCs w:val="24"/>
              </w:rPr>
            </w:pPr>
            <w:r>
              <w:rPr>
                <w:rFonts w:ascii="EB Garamond" w:eastAsia="EB Garamond" w:hAnsi="EB Garamond" w:cs="EB Garamond"/>
                <w:sz w:val="24"/>
                <w:szCs w:val="24"/>
              </w:rPr>
              <w:t>10%</w:t>
            </w:r>
          </w:p>
        </w:tc>
      </w:tr>
    </w:tbl>
    <w:p w:rsidR="007C586A" w:rsidRDefault="004111DC">
      <w:pPr>
        <w:rPr>
          <w:rFonts w:ascii="EB Garamond" w:eastAsia="EB Garamond" w:hAnsi="EB Garamond" w:cs="EB Garamond"/>
          <w:sz w:val="24"/>
          <w:szCs w:val="24"/>
        </w:rPr>
      </w:pPr>
      <w:r>
        <w:rPr>
          <w:rFonts w:ascii="EB Garamond" w:eastAsia="EB Garamond" w:hAnsi="EB Garamond" w:cs="EB Garamond"/>
          <w:sz w:val="24"/>
          <w:szCs w:val="24"/>
        </w:rPr>
        <w:t xml:space="preserve">**You will need a </w:t>
      </w:r>
      <w:r>
        <w:rPr>
          <w:rFonts w:ascii="EB Garamond" w:eastAsia="EB Garamond" w:hAnsi="EB Garamond" w:cs="EB Garamond"/>
          <w:b/>
          <w:sz w:val="24"/>
          <w:szCs w:val="24"/>
        </w:rPr>
        <w:t>single subject notebook and folder</w:t>
      </w:r>
      <w:r>
        <w:rPr>
          <w:rFonts w:ascii="EB Garamond" w:eastAsia="EB Garamond" w:hAnsi="EB Garamond" w:cs="EB Garamond"/>
          <w:sz w:val="24"/>
          <w:szCs w:val="24"/>
        </w:rPr>
        <w:t xml:space="preserve"> (which will be kept in the classroom), as well as pens/pencils**</w:t>
      </w:r>
    </w:p>
    <w:sectPr w:rsidR="007C586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B Garamond">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17143"/>
    <w:multiLevelType w:val="multilevel"/>
    <w:tmpl w:val="AADAE6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
  <w:rsids>
    <w:rsidRoot w:val="007C586A"/>
    <w:rsid w:val="004111DC"/>
    <w:rsid w:val="007C5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CHICOSKI, LAUREN</dc:creator>
  <cp:lastModifiedBy>Student, Gateway</cp:lastModifiedBy>
  <cp:revision>2</cp:revision>
  <dcterms:created xsi:type="dcterms:W3CDTF">2019-09-04T17:06:00Z</dcterms:created>
  <dcterms:modified xsi:type="dcterms:W3CDTF">2019-09-04T17:06:00Z</dcterms:modified>
</cp:coreProperties>
</file>